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91" w:rsidRPr="000A2E91" w:rsidRDefault="000A2E91" w:rsidP="000A2E91">
      <w:pPr>
        <w:pStyle w:val="NormalWeb"/>
        <w:jc w:val="center"/>
        <w:rPr>
          <w:sz w:val="18"/>
          <w:szCs w:val="18"/>
        </w:rPr>
      </w:pPr>
      <w:r w:rsidRPr="000A2E91">
        <w:rPr>
          <w:b/>
          <w:bCs/>
          <w:sz w:val="18"/>
          <w:szCs w:val="18"/>
        </w:rPr>
        <w:t>EXTRATO DE CONTRATO</w:t>
      </w:r>
    </w:p>
    <w:p w:rsidR="00CA0895" w:rsidRPr="000A2E91" w:rsidRDefault="000A2E91" w:rsidP="000A2E91">
      <w:pPr>
        <w:jc w:val="both"/>
        <w:rPr>
          <w:rFonts w:ascii="Arial" w:hAnsi="Arial" w:cs="Arial"/>
          <w:sz w:val="18"/>
          <w:szCs w:val="18"/>
        </w:rPr>
      </w:pPr>
      <w:r w:rsidRPr="000A2E91">
        <w:rPr>
          <w:rFonts w:ascii="Arial" w:hAnsi="Arial" w:cs="Arial"/>
          <w:sz w:val="18"/>
          <w:szCs w:val="18"/>
        </w:rPr>
        <w:t xml:space="preserve">OBJETO: CONTRATAÇÃO DE EMPRESA PARA PRESTAÇÃO DE SERVIÇOS TÉCNICOS ESPECIALIZADOS NA ASSESSORIA E CONSULTORIA EM TRANSPARÊNCIA PÚBLICA, REALIZANDO AUDITORIA COMPLETA DO PORTAL DA </w:t>
      </w:r>
      <w:proofErr w:type="gramStart"/>
      <w:r w:rsidRPr="000A2E91">
        <w:rPr>
          <w:rFonts w:ascii="Arial" w:hAnsi="Arial" w:cs="Arial"/>
          <w:sz w:val="18"/>
          <w:szCs w:val="18"/>
        </w:rPr>
        <w:t>TRANSPARÊNCIA,</w:t>
      </w:r>
      <w:proofErr w:type="gramEnd"/>
      <w:r w:rsidRPr="000A2E91">
        <w:rPr>
          <w:rFonts w:ascii="Arial" w:hAnsi="Arial" w:cs="Arial"/>
          <w:sz w:val="18"/>
          <w:szCs w:val="18"/>
        </w:rPr>
        <w:t>VISANDO ATENDER A LEI N° 12.527–2011, E INSTRUMENTOS NORMATIVOS, ALÉM DOS PADRÕES EXIGIDOS PELA ATRICON, MPPB E TCE/PB. BEM COMO O AUXÍLIO NA PUBLICAÇÃO DE DOCUMENTOS E ACOMPANHAMENTO CONTÍNUO DO SITE OFICIAL, EMITINDO RELATÓRIOS TÉCNICOS SUGERINDO MELHORIAS PARA ATENDER ASSIM A DEMANDA DA CÂMARA MUNICIPAL. FUNDAMENTO LEGAL: Inexig</w:t>
      </w:r>
      <w:r>
        <w:rPr>
          <w:rFonts w:ascii="Arial" w:hAnsi="Arial" w:cs="Arial"/>
          <w:sz w:val="18"/>
          <w:szCs w:val="18"/>
        </w:rPr>
        <w:t>ibilidade de Licitação nº 0000</w:t>
      </w:r>
      <w:r w:rsidRPr="000A2E91">
        <w:rPr>
          <w:rFonts w:ascii="Arial" w:hAnsi="Arial" w:cs="Arial"/>
          <w:sz w:val="18"/>
          <w:szCs w:val="18"/>
        </w:rPr>
        <w:t xml:space="preserve">4/2026, nos termos do Art. 74, inciso III, alínea c,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0000</w:t>
      </w:r>
      <w:r w:rsidRPr="000A2E91">
        <w:rPr>
          <w:rFonts w:ascii="Arial" w:hAnsi="Arial" w:cs="Arial"/>
          <w:sz w:val="18"/>
          <w:szCs w:val="18"/>
        </w:rPr>
        <w:t>4/2026 - 30.01.26 - LICARIAO ASSESSORIA E CONSULTORIA PUBLICA - R$ 24.200,00.</w:t>
      </w:r>
    </w:p>
    <w:sectPr w:rsidR="00CA0895" w:rsidRPr="000A2E9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0A2E91"/>
    <w:rsid w:val="000A2E91"/>
    <w:rsid w:val="00CA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2026-02-10T13:19:00Z</dcterms:created>
  <dcterms:modified xsi:type="dcterms:W3CDTF">2026-02-10T13:19:00Z</dcterms:modified>
</cp:coreProperties>
</file>